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东南园区A6、A9厂房消防管道维修改造项目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538CBB7">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10</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1000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18540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4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24</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bookmarkStart w:id="0" w:name="_GoBack"/>
      <w:bookmarkEnd w:id="0"/>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786B05E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6EF9DFA">
      <w:pPr>
        <w:spacing w:line="360" w:lineRule="auto"/>
        <w:rPr>
          <w:rFonts w:hint="eastAsia" w:ascii="宋体" w:hAnsi="宋体" w:eastAsia="宋体" w:cs="宋体"/>
          <w:b/>
          <w:color w:val="auto"/>
          <w:sz w:val="24"/>
          <w:highlight w:val="none"/>
        </w:rPr>
      </w:pPr>
    </w:p>
    <w:p w14:paraId="01031EB6">
      <w:pPr>
        <w:spacing w:line="360" w:lineRule="auto"/>
        <w:rPr>
          <w:rFonts w:hint="eastAsia" w:ascii="宋体" w:hAnsi="宋体" w:eastAsia="宋体" w:cs="宋体"/>
          <w:b/>
          <w:color w:val="auto"/>
          <w:sz w:val="24"/>
          <w:highlight w:val="none"/>
        </w:rPr>
      </w:pPr>
    </w:p>
    <w:p w14:paraId="5D43AA0B">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kern w:val="2"/>
          <w:sz w:val="52"/>
          <w:szCs w:val="52"/>
          <w:highlight w:val="none"/>
          <w:lang w:val="en-US" w:eastAsia="zh-CN" w:bidi="ar-SA"/>
        </w:rPr>
        <w:t>东南园区A6、A9厂房消防管道维修改造</w:t>
      </w:r>
      <w:r>
        <w:rPr>
          <w:rFonts w:hint="eastAsia" w:ascii="宋体" w:hAnsi="宋体" w:eastAsia="宋体" w:cs="宋体"/>
          <w:b/>
          <w:color w:val="auto"/>
          <w:sz w:val="48"/>
          <w:szCs w:val="48"/>
          <w:highlight w:val="none"/>
          <w:lang w:val="en-US" w:eastAsia="zh-CN"/>
        </w:rPr>
        <w:t>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5E96E83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东南园区A6、A9厂房消防管道维修改造项目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10</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97</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剩余3%为质保金，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2</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505A8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东南园区A6、A9厂房消防管道维修改造项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szCs w:val="21"/>
        </w:rPr>
        <w:t>屋面防水工程、有防水要求的卫生间、房间和外墙面的防渗为</w:t>
      </w:r>
      <w:r>
        <w:rPr>
          <w:rFonts w:hint="eastAsia" w:ascii="宋体" w:hAnsi="宋体" w:cs="宋体"/>
          <w:szCs w:val="21"/>
          <w:u w:val="single"/>
          <w:lang w:val="en-US" w:eastAsia="zh-CN"/>
        </w:rPr>
        <w:t>/</w:t>
      </w:r>
      <w:r>
        <w:rPr>
          <w:rFonts w:hint="eastAsia" w:ascii="宋体" w:hAnsi="宋体" w:cs="宋体"/>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东南园区A6、A9厂房消防管道维修改造项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C712B79">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10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656"/>
        <w:gridCol w:w="672"/>
        <w:gridCol w:w="936"/>
        <w:gridCol w:w="1331"/>
        <w:gridCol w:w="221"/>
        <w:gridCol w:w="918"/>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8751" w:type="dxa"/>
            <w:gridSpan w:val="7"/>
            <w:tcBorders>
              <w:top w:val="nil"/>
              <w:left w:val="nil"/>
              <w:bottom w:val="nil"/>
              <w:right w:val="nil"/>
            </w:tcBorders>
            <w:shd w:val="clear" w:color="auto" w:fill="auto"/>
            <w:vAlign w:val="center"/>
          </w:tcPr>
          <w:p w14:paraId="080127D9">
            <w:pPr>
              <w:bidi w:val="0"/>
              <w:jc w:val="center"/>
              <w:rPr>
                <w:rFonts w:hint="eastAsia"/>
                <w:color w:val="auto"/>
                <w:sz w:val="24"/>
                <w:szCs w:val="24"/>
                <w:highlight w:val="none"/>
                <w:lang w:val="en-US" w:eastAsia="zh-CN"/>
              </w:rPr>
            </w:pPr>
            <w:r>
              <w:rPr>
                <w:rFonts w:hint="eastAsia" w:ascii="宋体" w:hAnsi="宋体" w:eastAsia="宋体" w:cs="宋体"/>
                <w:color w:val="auto"/>
                <w:sz w:val="24"/>
                <w:highlight w:val="none"/>
                <w:u w:val="single"/>
                <w:lang w:val="en-US" w:eastAsia="zh-CN"/>
              </w:rPr>
              <w:t>东南园区A6、A9厂房消防管道维修改造</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CA43567">
            <w:pPr>
              <w:bidi w:val="0"/>
              <w:jc w:val="center"/>
              <w:rPr>
                <w:rFonts w:hint="eastAsia" w:ascii="宋体" w:hAnsi="宋体" w:eastAsia="宋体" w:cs="宋体"/>
                <w:color w:val="auto"/>
                <w:sz w:val="24"/>
                <w:highlight w:val="none"/>
                <w:u w:val="single"/>
                <w:lang w:val="en-US" w:eastAsia="zh-CN"/>
              </w:rPr>
            </w:pPr>
          </w:p>
        </w:tc>
        <w:tc>
          <w:tcPr>
            <w:tcW w:w="918" w:type="dxa"/>
            <w:tcBorders>
              <w:top w:val="nil"/>
              <w:left w:val="nil"/>
              <w:bottom w:val="nil"/>
              <w:right w:val="nil"/>
            </w:tcBorders>
            <w:shd w:val="clear" w:color="auto" w:fill="auto"/>
            <w:vAlign w:val="center"/>
          </w:tcPr>
          <w:p w14:paraId="7150BE9E">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921">
            <w:pPr>
              <w:bidi w:val="0"/>
              <w:jc w:val="center"/>
              <w:rPr>
                <w:rFonts w:hint="eastAsia"/>
                <w:color w:val="auto"/>
                <w:sz w:val="24"/>
                <w:szCs w:val="24"/>
                <w:highlight w:val="none"/>
                <w:lang w:val="en-US" w:eastAsia="zh-CN"/>
              </w:rPr>
            </w:pPr>
            <w:r>
              <w:rPr>
                <w:rFonts w:hint="eastAsia"/>
                <w:sz w:val="24"/>
                <w:szCs w:val="24"/>
                <w:lang w:val="en-US" w:eastAsia="zh-CN"/>
              </w:rPr>
              <w:t>全费用综合单价（元）</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114镀锌钢管</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8EFCD">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口径规格114mm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BCAF">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214</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8560</w:t>
            </w:r>
          </w:p>
        </w:tc>
      </w:tr>
      <w:tr w14:paraId="7FC8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0C1478">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E1DF">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镀锌角钢</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9AE6926">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AB7F">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29A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4B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300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FA71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300</w:t>
            </w:r>
          </w:p>
        </w:tc>
      </w:tr>
      <w:tr w14:paraId="5F30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1E20D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B5F83">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阀门井处更换管道封堵</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0BB7E7">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D30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8C3">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FAD">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1800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A6FC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3600</w:t>
            </w:r>
          </w:p>
        </w:tc>
      </w:tr>
      <w:tr w14:paraId="3A24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6938F29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1811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室外开挖</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080C8">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39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229">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9BA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1300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D286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2600</w:t>
            </w:r>
          </w:p>
        </w:tc>
      </w:tr>
      <w:tr w14:paraId="4597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2DAF8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6DD3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阀门</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8DC171">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01F">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7F9">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C2E">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280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72DC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1120</w:t>
            </w:r>
          </w:p>
        </w:tc>
      </w:tr>
      <w:tr w14:paraId="39CA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42A963">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A58E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机械租赁</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94C81A">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45A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231B">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E171">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2000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E04E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2000</w:t>
            </w:r>
          </w:p>
        </w:tc>
      </w:tr>
      <w:tr w14:paraId="7B07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0947F2F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7</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5A28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开孔</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85DFD9">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127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F099">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514">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180</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9D456">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360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AB7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97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30DA1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总计（元）：18540.00</w:t>
            </w:r>
          </w:p>
        </w:tc>
      </w:tr>
      <w:tr w14:paraId="1DED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05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0D2BB165">
            <w:pPr>
              <w:numPr>
                <w:ilvl w:val="0"/>
                <w:numId w:val="7"/>
              </w:num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具体工作内容及工程量由建设单位确认。</w:t>
            </w:r>
          </w:p>
          <w:p w14:paraId="6A736D4F">
            <w:pPr>
              <w:pStyle w:val="2"/>
              <w:numPr>
                <w:ilvl w:val="0"/>
                <w:numId w:val="0"/>
              </w:numPr>
              <w:ind w:right="1470" w:rightChars="700"/>
              <w:rPr>
                <w:rFonts w:hint="eastAsia"/>
                <w:lang w:val="en-US" w:eastAsia="zh-CN"/>
              </w:rPr>
            </w:pPr>
            <w:r>
              <w:rPr>
                <w:rFonts w:hint="eastAsia"/>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3、施工后确保水压不受影响。</w:t>
            </w: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726AA689">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BED73DA">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0B74E949">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3FB82C94">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658B695">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0983544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352A4AF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东南园区A6、A9厂房消防管道维修改造项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FBFCF"/>
    <w:multiLevelType w:val="singleLevel"/>
    <w:tmpl w:val="A10FBFCF"/>
    <w:lvl w:ilvl="0" w:tentative="0">
      <w:start w:val="2"/>
      <w:numFmt w:val="decimal"/>
      <w:suff w:val="nothing"/>
      <w:lvlText w:val="%1、"/>
      <w:lvlJc w:val="left"/>
    </w:lvl>
  </w:abstractNum>
  <w:abstractNum w:abstractNumId="1">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2">
    <w:nsid w:val="D46BECEF"/>
    <w:multiLevelType w:val="singleLevel"/>
    <w:tmpl w:val="D46BECEF"/>
    <w:lvl w:ilvl="0" w:tentative="0">
      <w:start w:val="7"/>
      <w:numFmt w:val="chineseCounting"/>
      <w:suff w:val="nothing"/>
      <w:lvlText w:val="%1、"/>
      <w:lvlJc w:val="left"/>
      <w:rPr>
        <w:rFonts w:hint="eastAsia"/>
      </w:rPr>
    </w:lvl>
  </w:abstractNum>
  <w:abstractNum w:abstractNumId="3">
    <w:nsid w:val="00000020"/>
    <w:multiLevelType w:val="singleLevel"/>
    <w:tmpl w:val="00000020"/>
    <w:lvl w:ilvl="0" w:tentative="0">
      <w:start w:val="3"/>
      <w:numFmt w:val="chineseCounting"/>
      <w:suff w:val="nothing"/>
      <w:lvlText w:val="%1、"/>
      <w:lvlJc w:val="left"/>
    </w:lvl>
  </w:abstractNum>
  <w:abstractNum w:abstractNumId="4">
    <w:nsid w:val="1D7B41AE"/>
    <w:multiLevelType w:val="singleLevel"/>
    <w:tmpl w:val="1D7B41AE"/>
    <w:lvl w:ilvl="0" w:tentative="0">
      <w:start w:val="5"/>
      <w:numFmt w:val="chineseCounting"/>
      <w:suff w:val="nothing"/>
      <w:lvlText w:val="%1、"/>
      <w:lvlJc w:val="left"/>
      <w:rPr>
        <w:rFonts w:hint="eastAsia"/>
      </w:rPr>
    </w:lvl>
  </w:abstractNum>
  <w:abstractNum w:abstractNumId="5">
    <w:nsid w:val="358AF7E0"/>
    <w:multiLevelType w:val="singleLevel"/>
    <w:tmpl w:val="358AF7E0"/>
    <w:lvl w:ilvl="0" w:tentative="0">
      <w:start w:val="2"/>
      <w:numFmt w:val="decimal"/>
      <w:suff w:val="nothing"/>
      <w:lvlText w:val="%1、"/>
      <w:lvlJc w:val="left"/>
    </w:lvl>
  </w:abstractNum>
  <w:abstractNum w:abstractNumId="6">
    <w:nsid w:val="576E44B2"/>
    <w:multiLevelType w:val="singleLevel"/>
    <w:tmpl w:val="576E44B2"/>
    <w:lvl w:ilvl="0" w:tentative="0">
      <w:start w:val="2"/>
      <w:numFmt w:val="chineseCounting"/>
      <w:suff w:val="nothing"/>
      <w:lvlText w:val="%1、"/>
      <w:lvlJc w:val="left"/>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D751F9"/>
    <w:rsid w:val="02607240"/>
    <w:rsid w:val="027F2F56"/>
    <w:rsid w:val="02BA6369"/>
    <w:rsid w:val="05B44CC5"/>
    <w:rsid w:val="05D2769B"/>
    <w:rsid w:val="062469A6"/>
    <w:rsid w:val="06E65352"/>
    <w:rsid w:val="07D4111F"/>
    <w:rsid w:val="07EA70C4"/>
    <w:rsid w:val="084D0D93"/>
    <w:rsid w:val="08834083"/>
    <w:rsid w:val="08917137"/>
    <w:rsid w:val="08E13A75"/>
    <w:rsid w:val="09355F37"/>
    <w:rsid w:val="0A876AF8"/>
    <w:rsid w:val="0A9465FF"/>
    <w:rsid w:val="0AE578F1"/>
    <w:rsid w:val="0B114967"/>
    <w:rsid w:val="0BCB0B47"/>
    <w:rsid w:val="0BE51381"/>
    <w:rsid w:val="0C055A1E"/>
    <w:rsid w:val="0CB34D50"/>
    <w:rsid w:val="0D5F19BA"/>
    <w:rsid w:val="0E1924B1"/>
    <w:rsid w:val="0E59465B"/>
    <w:rsid w:val="0FFE195E"/>
    <w:rsid w:val="105E0EAB"/>
    <w:rsid w:val="11E701D0"/>
    <w:rsid w:val="12E163DA"/>
    <w:rsid w:val="132323BB"/>
    <w:rsid w:val="13EE74BE"/>
    <w:rsid w:val="141F6347"/>
    <w:rsid w:val="145204CA"/>
    <w:rsid w:val="15671D54"/>
    <w:rsid w:val="16504596"/>
    <w:rsid w:val="17AF1790"/>
    <w:rsid w:val="18B708FC"/>
    <w:rsid w:val="1AB22AF3"/>
    <w:rsid w:val="1AFF16D2"/>
    <w:rsid w:val="1BAD5FE6"/>
    <w:rsid w:val="1D5E58CD"/>
    <w:rsid w:val="1E0D4B30"/>
    <w:rsid w:val="1E262080"/>
    <w:rsid w:val="1E9152B2"/>
    <w:rsid w:val="206155F1"/>
    <w:rsid w:val="22DE5CE2"/>
    <w:rsid w:val="238C6E29"/>
    <w:rsid w:val="274C2E55"/>
    <w:rsid w:val="288F719F"/>
    <w:rsid w:val="28C0465F"/>
    <w:rsid w:val="291508C5"/>
    <w:rsid w:val="29712D49"/>
    <w:rsid w:val="29B35110"/>
    <w:rsid w:val="29B6665D"/>
    <w:rsid w:val="2A8B01AD"/>
    <w:rsid w:val="2B3109E2"/>
    <w:rsid w:val="2BBC33EF"/>
    <w:rsid w:val="2BFE3009"/>
    <w:rsid w:val="2F5B602D"/>
    <w:rsid w:val="3017355D"/>
    <w:rsid w:val="3264169D"/>
    <w:rsid w:val="361E58EA"/>
    <w:rsid w:val="36556102"/>
    <w:rsid w:val="38A327F3"/>
    <w:rsid w:val="38DF47F8"/>
    <w:rsid w:val="396571DF"/>
    <w:rsid w:val="3B863466"/>
    <w:rsid w:val="3BB64945"/>
    <w:rsid w:val="3D1D3039"/>
    <w:rsid w:val="405E741E"/>
    <w:rsid w:val="413761CE"/>
    <w:rsid w:val="414512E0"/>
    <w:rsid w:val="41C3373B"/>
    <w:rsid w:val="41E40104"/>
    <w:rsid w:val="4391606A"/>
    <w:rsid w:val="439F7ACA"/>
    <w:rsid w:val="442C697C"/>
    <w:rsid w:val="456A4DC4"/>
    <w:rsid w:val="460D7273"/>
    <w:rsid w:val="48413F0C"/>
    <w:rsid w:val="49494CF1"/>
    <w:rsid w:val="4A0D5D1E"/>
    <w:rsid w:val="4D237C5B"/>
    <w:rsid w:val="504340C2"/>
    <w:rsid w:val="50D03D46"/>
    <w:rsid w:val="51037E7B"/>
    <w:rsid w:val="52D0481B"/>
    <w:rsid w:val="52D27B05"/>
    <w:rsid w:val="534327B1"/>
    <w:rsid w:val="549B0B3A"/>
    <w:rsid w:val="549D2581"/>
    <w:rsid w:val="55A071E6"/>
    <w:rsid w:val="594674C7"/>
    <w:rsid w:val="5B8206DA"/>
    <w:rsid w:val="5CA15713"/>
    <w:rsid w:val="5E3701C5"/>
    <w:rsid w:val="5F0408AD"/>
    <w:rsid w:val="5FBA478C"/>
    <w:rsid w:val="61626B2B"/>
    <w:rsid w:val="61EA6C19"/>
    <w:rsid w:val="62F259CF"/>
    <w:rsid w:val="659E3F9B"/>
    <w:rsid w:val="66344D3E"/>
    <w:rsid w:val="68287E31"/>
    <w:rsid w:val="68CC7B01"/>
    <w:rsid w:val="6C826A44"/>
    <w:rsid w:val="6D9914F3"/>
    <w:rsid w:val="6E3000AA"/>
    <w:rsid w:val="70CF38C7"/>
    <w:rsid w:val="712B4136"/>
    <w:rsid w:val="72F86CBC"/>
    <w:rsid w:val="74E956DD"/>
    <w:rsid w:val="75E31EA6"/>
    <w:rsid w:val="770220A6"/>
    <w:rsid w:val="78197E95"/>
    <w:rsid w:val="78A8187D"/>
    <w:rsid w:val="790A599B"/>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10221</Words>
  <Characters>10507</Characters>
  <Lines>0</Lines>
  <Paragraphs>0</Paragraphs>
  <TotalTime>25</TotalTime>
  <ScaleCrop>false</ScaleCrop>
  <LinksUpToDate>false</LinksUpToDate>
  <CharactersWithSpaces>11961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2024-12-09T03:53:00Z</cp:lastPrinted>
  <dcterms:modified xsi:type="dcterms:W3CDTF">2025-04-16T09:14:26Z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F3855DAAF37941B684A48B6553A1E85B_13</vt:lpwstr>
  </property>
  <property fmtid="{D5CDD505-2E9C-101B-9397-08002B2CF9AE}" pid="4" name="KSOTemplateDocerSaveRecord">
    <vt:lpwstr>eyJoZGlkIjoiNTRhMmUzZmU1ZmZhZDc3ZjY4YzMwZmNiZmUwYjRlZTMiLCJ1c2VySWQiOiIzNzI3NjUwMTMifQ==</vt:lpwstr>
  </property>
</Properties>
</file>